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29E6" w14:textId="340D7D98" w:rsidR="006032B6" w:rsidRPr="00433639" w:rsidRDefault="00B11017" w:rsidP="00B11017">
      <w:pP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</w:pPr>
      <w:r w:rsidRPr="00433639">
        <w:rPr>
          <w:rStyle w:val="a8"/>
          <w:rFonts w:ascii="Times New Roman" w:eastAsia="Arial Unicode MS" w:hAnsi="Times New Roman" w:cs="Times New Roman"/>
          <w:b/>
          <w:noProof/>
          <w:color w:val="0D0D0D" w:themeColor="text1" w:themeTint="F2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70B8DEB" wp14:editId="3BDD6DF9">
            <wp:simplePos x="0" y="0"/>
            <wp:positionH relativeFrom="column">
              <wp:posOffset>4416635</wp:posOffset>
            </wp:positionH>
            <wp:positionV relativeFrom="paragraph">
              <wp:posOffset>-2456</wp:posOffset>
            </wp:positionV>
            <wp:extent cx="2048300" cy="6211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78" cy="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67"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ООО «ТЭК-СИСТЕМС</w:t>
      </w:r>
      <w:r w:rsidR="006032B6"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»</w:t>
      </w:r>
    </w:p>
    <w:p w14:paraId="02A12D8E" w14:textId="12EA4E24" w:rsidR="006032B6" w:rsidRPr="00433639" w:rsidRDefault="006032B6" w:rsidP="00B11017">
      <w:pP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</w:pPr>
      <w:r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 xml:space="preserve">г. Рязань, </w:t>
      </w:r>
      <w:r w:rsidR="00CB73B2"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Маяковского д. 1А</w:t>
      </w:r>
    </w:p>
    <w:p w14:paraId="7C5D619F" w14:textId="211F4B4F" w:rsidR="006032B6" w:rsidRPr="00433639" w:rsidRDefault="006032B6" w:rsidP="00B11017">
      <w:pP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</w:pPr>
      <w:r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 xml:space="preserve">(4912) </w:t>
      </w:r>
      <w:r w:rsidR="00F00E9A" w:rsidRPr="00433639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40-73-25</w:t>
      </w:r>
    </w:p>
    <w:p w14:paraId="25770415" w14:textId="2A3E5094" w:rsidR="00813773" w:rsidRPr="00433639" w:rsidRDefault="00CF7B3D" w:rsidP="00B11017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hyperlink r:id="rId6" w:history="1">
        <w:r w:rsidR="006032B6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</w:rPr>
          <w:t>www.tek-systems.ru</w:t>
        </w:r>
      </w:hyperlink>
    </w:p>
    <w:p w14:paraId="61E452A6" w14:textId="5D0C184F" w:rsidR="006032B6" w:rsidRPr="00433639" w:rsidRDefault="00CF7B3D" w:rsidP="00B11017">
      <w:pPr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</w:pPr>
      <w:hyperlink r:id="rId7" w:history="1"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</w:rPr>
          <w:t>sales@</w:t>
        </w:r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  <w:lang w:val="en-US"/>
          </w:rPr>
          <w:t>tek</w:t>
        </w:r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</w:rPr>
          <w:t>-</w:t>
        </w:r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  <w:lang w:val="en-US"/>
          </w:rPr>
          <w:t>systems</w:t>
        </w:r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</w:rPr>
          <w:t>.</w:t>
        </w:r>
        <w:r w:rsidR="00F00E9A" w:rsidRPr="00433639">
          <w:rPr>
            <w:rStyle w:val="a8"/>
            <w:rFonts w:ascii="Times New Roman" w:eastAsia="Arial Unicode MS" w:hAnsi="Times New Roman" w:cs="Times New Roman"/>
            <w:b/>
            <w:color w:val="0D0D0D" w:themeColor="text1" w:themeTint="F2"/>
            <w:sz w:val="20"/>
            <w:szCs w:val="20"/>
            <w:lang w:val="en-US"/>
          </w:rPr>
          <w:t>ru</w:t>
        </w:r>
      </w:hyperlink>
    </w:p>
    <w:p w14:paraId="0F438CEA" w14:textId="77777777" w:rsidR="00813773" w:rsidRPr="00B11017" w:rsidRDefault="00813773" w:rsidP="006032B6">
      <w:pPr>
        <w:ind w:left="-426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</w:p>
    <w:p w14:paraId="2D81A1FC" w14:textId="539D6A06" w:rsidR="006032B6" w:rsidRPr="00B11017" w:rsidRDefault="00151296" w:rsidP="006032B6">
      <w:pPr>
        <w:ind w:left="-426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      </w:t>
      </w:r>
      <w:r w:rsidR="006032B6"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Опросный лист для заказа </w:t>
      </w:r>
      <w:r w:rsidR="00620CB0"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визуального указателя </w:t>
      </w:r>
      <w:r w:rsidR="006032B6"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уровня ТЭК-</w:t>
      </w:r>
      <w:r w:rsidR="00A140EC"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УВ</w:t>
      </w:r>
      <w:r w:rsidR="00CF7B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</w:p>
    <w:p w14:paraId="0A1B600D" w14:textId="77777777" w:rsidR="006032B6" w:rsidRPr="00B11017" w:rsidRDefault="00151296" w:rsidP="006032B6">
      <w:pPr>
        <w:ind w:left="-426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16"/>
          <w:szCs w:val="16"/>
        </w:rPr>
      </w:pPr>
      <w:r w:rsidRPr="00B11017">
        <w:rPr>
          <w:rFonts w:ascii="Times New Roman" w:eastAsia="Arial Unicode MS" w:hAnsi="Times New Roman" w:cs="Times New Roman"/>
          <w:b/>
          <w:color w:val="0D0D0D" w:themeColor="text1" w:themeTint="F2"/>
          <w:sz w:val="16"/>
          <w:szCs w:val="16"/>
        </w:rPr>
        <w:t xml:space="preserve"> 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5187"/>
        <w:gridCol w:w="3970"/>
      </w:tblGrid>
      <w:tr w:rsidR="00CB73B2" w:rsidRPr="004C749B" w14:paraId="0D521E0B" w14:textId="77777777" w:rsidTr="004C749B">
        <w:trPr>
          <w:trHeight w:val="500"/>
          <w:jc w:val="center"/>
        </w:trPr>
        <w:tc>
          <w:tcPr>
            <w:tcW w:w="1409" w:type="dxa"/>
            <w:vMerge w:val="restart"/>
            <w:vAlign w:val="center"/>
          </w:tcPr>
          <w:p w14:paraId="57408214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5187" w:type="dxa"/>
            <w:vAlign w:val="center"/>
          </w:tcPr>
          <w:p w14:paraId="60CB0B4F" w14:textId="78084E03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Название </w:t>
            </w:r>
            <w:r w:rsidR="00B11017"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организации</w:t>
            </w:r>
          </w:p>
        </w:tc>
        <w:tc>
          <w:tcPr>
            <w:tcW w:w="3970" w:type="dxa"/>
          </w:tcPr>
          <w:p w14:paraId="687DD1EE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3DEB7772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2986356F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2257465E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09334ABC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970" w:type="dxa"/>
          </w:tcPr>
          <w:p w14:paraId="0FC6C5D2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579FD39E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6958A67E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1CBC9F6B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0B3C9947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3970" w:type="dxa"/>
          </w:tcPr>
          <w:p w14:paraId="2ED0DE42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1DEB5CED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05098973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08F82B09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3397A407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Количество приборов, шт.</w:t>
            </w:r>
          </w:p>
        </w:tc>
        <w:tc>
          <w:tcPr>
            <w:tcW w:w="3970" w:type="dxa"/>
          </w:tcPr>
          <w:p w14:paraId="5B7C7D61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51E2CE19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625D7A5E" w14:textId="77777777" w:rsidTr="004C749B">
        <w:trPr>
          <w:trHeight w:val="500"/>
          <w:jc w:val="center"/>
        </w:trPr>
        <w:tc>
          <w:tcPr>
            <w:tcW w:w="1409" w:type="dxa"/>
            <w:vMerge/>
            <w:vAlign w:val="center"/>
          </w:tcPr>
          <w:p w14:paraId="59EAB7A0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1C934D78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Требуемый срок поставки</w:t>
            </w:r>
          </w:p>
        </w:tc>
        <w:tc>
          <w:tcPr>
            <w:tcW w:w="3970" w:type="dxa"/>
          </w:tcPr>
          <w:p w14:paraId="5A0FADFD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2692A1FF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26ECE1CF" w14:textId="77777777" w:rsidTr="004C749B">
        <w:trPr>
          <w:trHeight w:val="500"/>
          <w:jc w:val="center"/>
        </w:trPr>
        <w:tc>
          <w:tcPr>
            <w:tcW w:w="1409" w:type="dxa"/>
            <w:vMerge w:val="restart"/>
            <w:vAlign w:val="center"/>
          </w:tcPr>
          <w:p w14:paraId="372C53F9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Информация о процессе</w:t>
            </w:r>
          </w:p>
        </w:tc>
        <w:tc>
          <w:tcPr>
            <w:tcW w:w="5187" w:type="dxa"/>
            <w:vAlign w:val="center"/>
          </w:tcPr>
          <w:p w14:paraId="3A9E398B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3970" w:type="dxa"/>
          </w:tcPr>
          <w:p w14:paraId="63126B47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54AA5E34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725777A3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13C1E741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10D16742" w14:textId="77777777" w:rsidR="006032B6" w:rsidRPr="004C749B" w:rsidRDefault="006032B6" w:rsidP="00E86EB0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Максимальная температура рабочая / Максимальная температура расчетная, </w:t>
            </w: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  <w:vertAlign w:val="superscript"/>
              </w:rPr>
              <w:t>о</w:t>
            </w: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С* </w:t>
            </w:r>
          </w:p>
        </w:tc>
        <w:tc>
          <w:tcPr>
            <w:tcW w:w="3970" w:type="dxa"/>
          </w:tcPr>
          <w:p w14:paraId="4C72FCC2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4473CA0A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2095AE44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294B1888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3970" w:type="dxa"/>
          </w:tcPr>
          <w:p w14:paraId="40F8EB3A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2864F766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58622BAC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291AAE23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7F9739A5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3970" w:type="dxa"/>
          </w:tcPr>
          <w:p w14:paraId="678B7356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6BD4A8F2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52F0F907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493244B8" w14:textId="77777777" w:rsidR="006032B6" w:rsidRPr="004C749B" w:rsidRDefault="006032B6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28831B84" w14:textId="77777777" w:rsidR="006032B6" w:rsidRPr="004C749B" w:rsidRDefault="006032B6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Температура окружающей среды, </w:t>
            </w: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  <w:vertAlign w:val="superscript"/>
              </w:rPr>
              <w:t>о</w:t>
            </w: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С</w:t>
            </w:r>
          </w:p>
        </w:tc>
        <w:tc>
          <w:tcPr>
            <w:tcW w:w="3970" w:type="dxa"/>
          </w:tcPr>
          <w:p w14:paraId="48C3542B" w14:textId="77777777" w:rsidR="006032B6" w:rsidRPr="004C749B" w:rsidRDefault="006032B6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0880DED3" w14:textId="77777777" w:rsidR="002C67B7" w:rsidRPr="004C749B" w:rsidRDefault="002C67B7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5B1EC136" w14:textId="77777777" w:rsidTr="004C749B">
        <w:trPr>
          <w:trHeight w:val="500"/>
          <w:jc w:val="center"/>
        </w:trPr>
        <w:tc>
          <w:tcPr>
            <w:tcW w:w="1409" w:type="dxa"/>
            <w:vMerge w:val="restart"/>
            <w:vAlign w:val="center"/>
          </w:tcPr>
          <w:p w14:paraId="018E5A1D" w14:textId="77777777" w:rsidR="00F00E9A" w:rsidRPr="004C749B" w:rsidRDefault="00F00E9A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Техническое задание на колонку/камеру</w:t>
            </w:r>
          </w:p>
          <w:p w14:paraId="4D23B279" w14:textId="77777777" w:rsidR="00F00E9A" w:rsidRPr="004C749B" w:rsidRDefault="00F00E9A" w:rsidP="00151296">
            <w:pPr>
              <w:ind w:left="34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 указателя уровня</w:t>
            </w:r>
          </w:p>
        </w:tc>
        <w:tc>
          <w:tcPr>
            <w:tcW w:w="5187" w:type="dxa"/>
            <w:vAlign w:val="center"/>
          </w:tcPr>
          <w:p w14:paraId="6D829EAD" w14:textId="77777777" w:rsidR="00F00E9A" w:rsidRPr="004C749B" w:rsidRDefault="00F00E9A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Желаемый материал исполнения </w:t>
            </w:r>
          </w:p>
          <w:p w14:paraId="470E4C88" w14:textId="77777777" w:rsidR="00F00E9A" w:rsidRPr="004C749B" w:rsidRDefault="00F00E9A" w:rsidP="006032B6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304SS, 316L, углеродистая сталь, 304SS-PTFE</w:t>
            </w:r>
          </w:p>
        </w:tc>
        <w:tc>
          <w:tcPr>
            <w:tcW w:w="3970" w:type="dxa"/>
          </w:tcPr>
          <w:p w14:paraId="0A9AD6A6" w14:textId="77777777" w:rsidR="00F00E9A" w:rsidRPr="004C749B" w:rsidRDefault="00F00E9A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71295E97" w14:textId="77777777" w:rsidR="00F00E9A" w:rsidRPr="004C749B" w:rsidRDefault="00F00E9A" w:rsidP="006032B6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3A6F5F92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45E72649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4FB4870D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Выбранная модель указателя уровня</w:t>
            </w:r>
          </w:p>
          <w:p w14:paraId="5BADD0F7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УВР, УВП, УВТ, УВЦ</w:t>
            </w:r>
          </w:p>
        </w:tc>
        <w:tc>
          <w:tcPr>
            <w:tcW w:w="3970" w:type="dxa"/>
          </w:tcPr>
          <w:p w14:paraId="36368C5E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14:paraId="65B3B68E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1F17B73F" w14:textId="77777777" w:rsidTr="004C749B">
        <w:trPr>
          <w:trHeight w:val="1189"/>
          <w:jc w:val="center"/>
        </w:trPr>
        <w:tc>
          <w:tcPr>
            <w:tcW w:w="1409" w:type="dxa"/>
            <w:vMerge/>
            <w:vAlign w:val="center"/>
          </w:tcPr>
          <w:p w14:paraId="5DB232CA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1853458E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Тип присоединения к процессу:</w:t>
            </w:r>
          </w:p>
          <w:p w14:paraId="4DA007B7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патрубок под приварку </w:t>
            </w: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(указать Ду)</w:t>
            </w:r>
          </w:p>
          <w:p w14:paraId="0F54DAFD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резьба </w:t>
            </w: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(указать тип)</w:t>
            </w:r>
          </w:p>
          <w:p w14:paraId="4561D7C7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- фланец </w:t>
            </w: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(указать Ду, Ру, вид уплотнительной поверхности)</w:t>
            </w:r>
          </w:p>
          <w:p w14:paraId="559FCC27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* рекомендуется указать длину присоединительных патрубков</w:t>
            </w:r>
          </w:p>
        </w:tc>
        <w:tc>
          <w:tcPr>
            <w:tcW w:w="3970" w:type="dxa"/>
          </w:tcPr>
          <w:p w14:paraId="6E67CC5B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332616D3" w14:textId="77777777" w:rsidTr="004C749B">
        <w:trPr>
          <w:trHeight w:val="270"/>
          <w:jc w:val="center"/>
        </w:trPr>
        <w:tc>
          <w:tcPr>
            <w:tcW w:w="1409" w:type="dxa"/>
            <w:vMerge/>
            <w:vAlign w:val="center"/>
          </w:tcPr>
          <w:p w14:paraId="6BDDACD9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6663CA5C" w14:textId="4A3CF733" w:rsidR="00F00E9A" w:rsidRPr="004C749B" w:rsidRDefault="00F00E9A" w:rsidP="00B11017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Расстояние между центрами точек присоединения, мм</w:t>
            </w:r>
          </w:p>
        </w:tc>
        <w:tc>
          <w:tcPr>
            <w:tcW w:w="3970" w:type="dxa"/>
          </w:tcPr>
          <w:p w14:paraId="1D5724A9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505E7C82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574675AB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451CF2DE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Диапазон видимого уровня, мм </w:t>
            </w:r>
          </w:p>
          <w:p w14:paraId="029E0F03" w14:textId="77777777" w:rsidR="00F00E9A" w:rsidRPr="004C749B" w:rsidRDefault="00F00E9A" w:rsidP="00BA101B">
            <w:pPr>
              <w:ind w:left="34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 (не всегда может быть равен межцентровому расстоянию!)</w:t>
            </w:r>
          </w:p>
        </w:tc>
        <w:tc>
          <w:tcPr>
            <w:tcW w:w="3970" w:type="dxa"/>
          </w:tcPr>
          <w:p w14:paraId="04B289D6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27E5F668" w14:textId="77777777" w:rsidTr="004C749B">
        <w:trPr>
          <w:trHeight w:val="256"/>
          <w:jc w:val="center"/>
        </w:trPr>
        <w:tc>
          <w:tcPr>
            <w:tcW w:w="1409" w:type="dxa"/>
            <w:vMerge/>
            <w:vAlign w:val="center"/>
          </w:tcPr>
          <w:p w14:paraId="53DB66AD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22FED523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 xml:space="preserve">Шкала </w:t>
            </w: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(да / нет), указать начало и конец</w:t>
            </w:r>
          </w:p>
        </w:tc>
        <w:tc>
          <w:tcPr>
            <w:tcW w:w="3970" w:type="dxa"/>
          </w:tcPr>
          <w:p w14:paraId="254374D6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418B7977" w14:textId="77777777" w:rsidTr="004C749B">
        <w:trPr>
          <w:trHeight w:val="891"/>
          <w:jc w:val="center"/>
        </w:trPr>
        <w:tc>
          <w:tcPr>
            <w:tcW w:w="1409" w:type="dxa"/>
            <w:vMerge/>
            <w:vAlign w:val="center"/>
          </w:tcPr>
          <w:p w14:paraId="3C2AC441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4FB7CE99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Верхний конец колонки</w:t>
            </w:r>
          </w:p>
          <w:p w14:paraId="597DAD61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26D7FD62" w14:textId="1FE42BE2" w:rsidR="00F00E9A" w:rsidRPr="004C749B" w:rsidRDefault="00B11017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F00E9A"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(Указать размер и тип фланцевого соединения или размер и тип резьбы, тип уплотнительной поверхности фланца и крана)</w:t>
            </w:r>
          </w:p>
        </w:tc>
        <w:tc>
          <w:tcPr>
            <w:tcW w:w="3970" w:type="dxa"/>
          </w:tcPr>
          <w:p w14:paraId="472069E6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28ECC08A" w14:textId="77777777" w:rsidTr="004C749B">
        <w:trPr>
          <w:trHeight w:val="878"/>
          <w:jc w:val="center"/>
        </w:trPr>
        <w:tc>
          <w:tcPr>
            <w:tcW w:w="1409" w:type="dxa"/>
            <w:vMerge/>
            <w:vAlign w:val="center"/>
          </w:tcPr>
          <w:p w14:paraId="1EBFAD10" w14:textId="77777777" w:rsidR="00F00E9A" w:rsidRPr="004C749B" w:rsidRDefault="00F00E9A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3A5F08B1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Нижний конец колонки</w:t>
            </w:r>
          </w:p>
          <w:p w14:paraId="6ADD4BE2" w14:textId="77777777" w:rsidR="00F00E9A" w:rsidRPr="004C749B" w:rsidRDefault="00F00E9A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2C7173AD" w14:textId="0F74341A" w:rsidR="00F00E9A" w:rsidRPr="004C749B" w:rsidRDefault="00B11017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="00F00E9A"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(Указать размер и тип фланцевого соединения или размер и тип резьбы, тип уплотнительной поверхности фланца)</w:t>
            </w:r>
          </w:p>
        </w:tc>
        <w:tc>
          <w:tcPr>
            <w:tcW w:w="3970" w:type="dxa"/>
          </w:tcPr>
          <w:p w14:paraId="176F6E72" w14:textId="77777777" w:rsidR="00F00E9A" w:rsidRPr="004C749B" w:rsidRDefault="00F00E9A" w:rsidP="00BA101B">
            <w:pPr>
              <w:ind w:left="-426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2D9D0E7E" w14:textId="77777777" w:rsidTr="004C749B">
        <w:trPr>
          <w:trHeight w:val="999"/>
          <w:jc w:val="center"/>
        </w:trPr>
        <w:tc>
          <w:tcPr>
            <w:tcW w:w="1409" w:type="dxa"/>
            <w:vMerge w:val="restart"/>
            <w:vAlign w:val="center"/>
          </w:tcPr>
          <w:p w14:paraId="1DA33FA8" w14:textId="77777777" w:rsidR="0034398C" w:rsidRPr="004C749B" w:rsidRDefault="0034398C" w:rsidP="00F00E9A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5187" w:type="dxa"/>
            <w:vAlign w:val="center"/>
          </w:tcPr>
          <w:p w14:paraId="1ACDDB7D" w14:textId="77777777" w:rsidR="0034398C" w:rsidRPr="004C749B" w:rsidRDefault="0034398C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Обогрев указателя:</w:t>
            </w:r>
          </w:p>
          <w:p w14:paraId="6669FA83" w14:textId="77777777" w:rsidR="0034398C" w:rsidRPr="004C749B" w:rsidRDefault="0034398C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Обогреваемый термочехол</w:t>
            </w:r>
          </w:p>
          <w:p w14:paraId="0ABC64F6" w14:textId="77777777" w:rsidR="0034398C" w:rsidRPr="004C749B" w:rsidRDefault="0034398C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- Жесткий металлический кожух</w:t>
            </w:r>
          </w:p>
          <w:p w14:paraId="7879DE05" w14:textId="77777777" w:rsidR="0034398C" w:rsidRPr="004C749B" w:rsidRDefault="0034398C" w:rsidP="00BA101B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i/>
                <w:color w:val="0D0D0D" w:themeColor="text1" w:themeTint="F2"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3970" w:type="dxa"/>
          </w:tcPr>
          <w:p w14:paraId="76476FE8" w14:textId="77777777" w:rsidR="0034398C" w:rsidRPr="004C749B" w:rsidRDefault="0034398C" w:rsidP="00BA101B">
            <w:pPr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CB73B2" w:rsidRPr="004C749B" w14:paraId="63EFFB22" w14:textId="77777777" w:rsidTr="004C749B">
        <w:trPr>
          <w:trHeight w:val="512"/>
          <w:jc w:val="center"/>
        </w:trPr>
        <w:tc>
          <w:tcPr>
            <w:tcW w:w="1409" w:type="dxa"/>
            <w:vMerge/>
            <w:vAlign w:val="center"/>
          </w:tcPr>
          <w:p w14:paraId="7D41D14F" w14:textId="77777777" w:rsidR="0034398C" w:rsidRPr="004C749B" w:rsidRDefault="0034398C" w:rsidP="006032B6">
            <w:pPr>
              <w:ind w:left="175" w:right="176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87" w:type="dxa"/>
            <w:vAlign w:val="center"/>
          </w:tcPr>
          <w:p w14:paraId="47747A99" w14:textId="214565F1" w:rsidR="0034398C" w:rsidRPr="004C749B" w:rsidRDefault="0034398C" w:rsidP="00B11017">
            <w:pPr>
              <w:ind w:left="175" w:right="176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C749B"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</w:tc>
        <w:tc>
          <w:tcPr>
            <w:tcW w:w="3970" w:type="dxa"/>
          </w:tcPr>
          <w:p w14:paraId="5A90112E" w14:textId="77777777" w:rsidR="0034398C" w:rsidRPr="004C749B" w:rsidRDefault="0034398C" w:rsidP="00BA101B">
            <w:pPr>
              <w:rPr>
                <w:rFonts w:ascii="Times New Roman" w:eastAsia="Arial Unicode MS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8823700" w14:textId="77777777" w:rsidR="003A530C" w:rsidRPr="00CB73B2" w:rsidRDefault="003A530C" w:rsidP="00F00E9A">
      <w:pPr>
        <w:rPr>
          <w:color w:val="0D0D0D" w:themeColor="text1" w:themeTint="F2"/>
          <w:sz w:val="20"/>
          <w:szCs w:val="20"/>
        </w:rPr>
      </w:pPr>
    </w:p>
    <w:sectPr w:rsidR="003A530C" w:rsidRPr="00CB73B2" w:rsidSect="00151296">
      <w:pgSz w:w="11900" w:h="16820"/>
      <w:pgMar w:top="425" w:right="832" w:bottom="426" w:left="6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" w15:restartNumberingAfterBreak="0">
    <w:nsid w:val="1094317A"/>
    <w:multiLevelType w:val="hybridMultilevel"/>
    <w:tmpl w:val="324E465C"/>
    <w:lvl w:ilvl="0" w:tplc="B6045278">
      <w:start w:val="9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00D4B"/>
    <w:multiLevelType w:val="hybridMultilevel"/>
    <w:tmpl w:val="C7D4BFCC"/>
    <w:lvl w:ilvl="0" w:tplc="DF5C77A0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57E524D2"/>
    <w:multiLevelType w:val="hybridMultilevel"/>
    <w:tmpl w:val="71684012"/>
    <w:lvl w:ilvl="0" w:tplc="0419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74" w:hanging="360"/>
      </w:pPr>
      <w:rPr>
        <w:rFonts w:ascii="Wingdings" w:hAnsi="Wingdings" w:hint="default"/>
      </w:rPr>
    </w:lvl>
  </w:abstractNum>
  <w:abstractNum w:abstractNumId="6" w15:restartNumberingAfterBreak="0">
    <w:nsid w:val="73E606D1"/>
    <w:multiLevelType w:val="hybridMultilevel"/>
    <w:tmpl w:val="D63C4F72"/>
    <w:lvl w:ilvl="0" w:tplc="3AAE6F72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F5"/>
    <w:rsid w:val="00032C68"/>
    <w:rsid w:val="000D67CC"/>
    <w:rsid w:val="00114E1F"/>
    <w:rsid w:val="00151296"/>
    <w:rsid w:val="00156EF5"/>
    <w:rsid w:val="002604D5"/>
    <w:rsid w:val="002C67B7"/>
    <w:rsid w:val="0032026C"/>
    <w:rsid w:val="003318D5"/>
    <w:rsid w:val="0034398C"/>
    <w:rsid w:val="003A530C"/>
    <w:rsid w:val="00433639"/>
    <w:rsid w:val="00480028"/>
    <w:rsid w:val="004C749B"/>
    <w:rsid w:val="004E29D0"/>
    <w:rsid w:val="00532F7B"/>
    <w:rsid w:val="00533569"/>
    <w:rsid w:val="00543B5D"/>
    <w:rsid w:val="005C1E8B"/>
    <w:rsid w:val="006032B6"/>
    <w:rsid w:val="00620CB0"/>
    <w:rsid w:val="0064754A"/>
    <w:rsid w:val="006B6B58"/>
    <w:rsid w:val="007467EB"/>
    <w:rsid w:val="00754380"/>
    <w:rsid w:val="00796C69"/>
    <w:rsid w:val="00797B15"/>
    <w:rsid w:val="007E6A0C"/>
    <w:rsid w:val="00813773"/>
    <w:rsid w:val="00823B53"/>
    <w:rsid w:val="00823B97"/>
    <w:rsid w:val="00836535"/>
    <w:rsid w:val="00843D2E"/>
    <w:rsid w:val="008C7CAB"/>
    <w:rsid w:val="008D65F0"/>
    <w:rsid w:val="009F2067"/>
    <w:rsid w:val="00A140EC"/>
    <w:rsid w:val="00A242D7"/>
    <w:rsid w:val="00A34B35"/>
    <w:rsid w:val="00B11017"/>
    <w:rsid w:val="00B60B12"/>
    <w:rsid w:val="00BB0C3E"/>
    <w:rsid w:val="00BF19FC"/>
    <w:rsid w:val="00C104AA"/>
    <w:rsid w:val="00CB4E07"/>
    <w:rsid w:val="00CB73B2"/>
    <w:rsid w:val="00CF7B3D"/>
    <w:rsid w:val="00E16C1B"/>
    <w:rsid w:val="00E6593D"/>
    <w:rsid w:val="00E86EB0"/>
    <w:rsid w:val="00E97D64"/>
    <w:rsid w:val="00EA0179"/>
    <w:rsid w:val="00F00E9A"/>
    <w:rsid w:val="00F5526E"/>
    <w:rsid w:val="00F733D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2788"/>
  <w15:docId w15:val="{1504FCCB-44FA-4CF6-9E0D-F4FD433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35"/>
  </w:style>
  <w:style w:type="paragraph" w:styleId="1">
    <w:name w:val="heading 1"/>
    <w:basedOn w:val="a"/>
    <w:next w:val="a"/>
    <w:link w:val="10"/>
    <w:uiPriority w:val="9"/>
    <w:qFormat/>
    <w:rsid w:val="00754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8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B6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1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-system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Илья Камынин</cp:lastModifiedBy>
  <cp:revision>22</cp:revision>
  <dcterms:created xsi:type="dcterms:W3CDTF">2019-03-22T09:09:00Z</dcterms:created>
  <dcterms:modified xsi:type="dcterms:W3CDTF">2023-09-05T14:18:00Z</dcterms:modified>
</cp:coreProperties>
</file>